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8"/>
        <w:gridCol w:w="235"/>
        <w:gridCol w:w="1183"/>
        <w:gridCol w:w="4394"/>
      </w:tblGrid>
      <w:tr>
        <w:trPr>
          <w:trHeight w:val="1126" w:hRule="atLeast"/>
        </w:trPr>
        <w:tc>
          <w:tcPr>
            <w:tcW w:w="5118" w:type="dxa"/>
            <w:tcBorders/>
          </w:tcPr>
          <w:p>
            <w:pPr>
              <w:pStyle w:val="Normal"/>
              <w:widowControl w:val="false"/>
              <w:spacing w:lineRule="auto" w:line="204" w:before="0" w:after="0"/>
              <w:jc w:val="center"/>
              <w:rPr>
                <w:rFonts w:ascii="Times New Roman" w:hAnsi="Times New Roman" w:eastAsia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ИСПОЛНИТЕЛЬНЫЙ КОМИТЕТ</w:t>
            </w:r>
          </w:p>
          <w:p>
            <w:pPr>
              <w:pStyle w:val="Normal"/>
              <w:widowControl w:val="false"/>
              <w:spacing w:lineRule="auto" w:line="204" w:before="0" w:after="0"/>
              <w:jc w:val="center"/>
              <w:rPr>
                <w:rFonts w:ascii="Times New Roman" w:hAnsi="Times New Roman" w:eastAsia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04" w:before="0" w:after="0"/>
              <w:jc w:val="center"/>
              <w:rPr>
                <w:rFonts w:ascii="Times New Roman" w:hAnsi="Times New Roman" w:eastAsia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ГОРОДА КАЗАНИ</w:t>
            </w:r>
          </w:p>
          <w:p>
            <w:pPr>
              <w:pStyle w:val="Normal"/>
              <w:widowControl w:val="false"/>
              <w:spacing w:lineRule="auto" w:line="91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24"/>
                <w:lang w:val="be-BY"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04" w:before="0" w:after="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04" w:before="0" w:after="0"/>
              <w:ind w:left="0" w:right="0" w:firstLine="1096"/>
              <w:outlineLvl w:val="2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val="be-BY"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sz w:val="23"/>
                <w:szCs w:val="23"/>
                <w:lang w:val="be-BY" w:eastAsia="ru-RU"/>
              </w:rPr>
              <w:t>УПРАВЛЕНИЕ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04" w:before="0" w:after="0"/>
              <w:ind w:left="0" w:right="0" w:firstLine="955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val="en-US" w:eastAsia="ru-RU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  <w:t>ОБРАЗОВАНИЯ</w:t>
            </w:r>
          </w:p>
          <w:p>
            <w:pPr>
              <w:pStyle w:val="Normal"/>
              <w:widowControl w:val="false"/>
              <w:spacing w:lineRule="auto" w:line="204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24"/>
                <w:lang w:val="be-BY" w:eastAsia="ru-RU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  <w:bookmarkStart w:id="0" w:name="_MON_1199712682"/>
            <w:bookmarkEnd w:id="0"/>
            <w:r>
              <w:rPr/>
              <w:drawing>
                <wp:inline distT="0" distB="0" distL="0" distR="0">
                  <wp:extent cx="809625" cy="80962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pacing w:lineRule="auto" w:line="204" w:before="0" w:after="0"/>
              <w:jc w:val="center"/>
              <w:rPr>
                <w:rFonts w:ascii="Times New Roman" w:hAnsi="Times New Roman" w:eastAsia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КАЗАН Ш</w:t>
            </w:r>
            <w:r>
              <w:rPr>
                <w:rFonts w:eastAsia="Times New Roman" w:cs="Times New Roman" w:ascii="Times New Roman" w:hAnsi="Times New Roman"/>
                <w:sz w:val="23"/>
                <w:szCs w:val="24"/>
                <w:lang w:val="tt-RU" w:eastAsia="ru-RU"/>
              </w:rPr>
              <w:t>ӘҺӘ</w:t>
            </w: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РЕ</w:t>
            </w:r>
          </w:p>
          <w:p>
            <w:pPr>
              <w:pStyle w:val="Normal"/>
              <w:widowControl w:val="false"/>
              <w:spacing w:lineRule="auto" w:line="204" w:before="0" w:after="0"/>
              <w:jc w:val="center"/>
              <w:rPr>
                <w:rFonts w:ascii="Times New Roman" w:hAnsi="Times New Roman" w:eastAsia="Times New Roman" w:cs="Times New Roman"/>
                <w:sz w:val="23"/>
                <w:szCs w:val="24"/>
                <w:lang w:val="tt-RU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МУНИЦИПАЛЬ БЕР</w:t>
            </w:r>
            <w:r>
              <w:rPr>
                <w:rFonts w:eastAsia="Times New Roman" w:cs="Times New Roman" w:ascii="Times New Roman" w:hAnsi="Times New Roman"/>
                <w:sz w:val="23"/>
                <w:szCs w:val="24"/>
                <w:lang w:val="tt-RU" w:eastAsia="ru-RU"/>
              </w:rPr>
              <w:t>Ә</w:t>
            </w: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МЛЕГЕНЕ</w:t>
            </w:r>
            <w:r>
              <w:rPr>
                <w:rFonts w:eastAsia="Times New Roman" w:cs="Times New Roman" w:ascii="Times New Roman" w:hAnsi="Times New Roman"/>
                <w:sz w:val="23"/>
                <w:szCs w:val="24"/>
                <w:lang w:val="tt-RU" w:eastAsia="ru-RU"/>
              </w:rPr>
              <w:t>Ң</w:t>
            </w:r>
          </w:p>
          <w:p>
            <w:pPr>
              <w:pStyle w:val="Normal"/>
              <w:widowControl w:val="false"/>
              <w:spacing w:lineRule="auto" w:line="204" w:before="0" w:after="0"/>
              <w:jc w:val="center"/>
              <w:rPr>
                <w:rFonts w:ascii="Times New Roman" w:hAnsi="Times New Roman" w:eastAsia="Times New Roman" w:cs="Times New Roman"/>
                <w:sz w:val="23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4"/>
                <w:lang w:val="be-BY" w:eastAsia="ru-RU"/>
              </w:rPr>
              <w:t>БАШКАРМА КОМИТЕТЫ</w:t>
            </w:r>
          </w:p>
          <w:p>
            <w:pPr>
              <w:pStyle w:val="Normal"/>
              <w:widowControl w:val="false"/>
              <w:spacing w:lineRule="auto" w:line="91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val="hsb-DE"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24"/>
                <w:lang w:val="hsb-DE"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04" w:before="0" w:after="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val="tt-RU"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04" w:before="0" w:after="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sz w:val="23"/>
                <w:szCs w:val="23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val="tt-RU" w:eastAsia="ru-RU"/>
              </w:rPr>
              <w:t>МӘГАРИФ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04" w:before="0" w:after="0"/>
              <w:ind w:left="0" w:right="0" w:hanging="0"/>
              <w:jc w:val="center"/>
              <w:outlineLvl w:val="2"/>
              <w:rPr>
                <w:rFonts w:ascii="Times New Roman" w:hAnsi="Times New Roman" w:eastAsia="Times New Roman" w:cs="Times New Roman"/>
                <w:sz w:val="23"/>
                <w:szCs w:val="23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val="be-BY" w:eastAsia="ru-RU"/>
              </w:rPr>
              <w:t>ИДАР</w:t>
            </w:r>
            <w:r>
              <w:rPr>
                <w:rFonts w:eastAsia="Times New Roman" w:cs="Times New Roman" w:ascii="Times New Roman" w:hAnsi="Times New Roman"/>
                <w:sz w:val="23"/>
                <w:szCs w:val="23"/>
                <w:lang w:val="tt-RU" w:eastAsia="ru-RU"/>
              </w:rPr>
              <w:t>Ә</w:t>
            </w:r>
            <w:r>
              <w:rPr>
                <w:rFonts w:eastAsia="Times New Roman" w:cs="Times New Roman" w:ascii="Times New Roman" w:hAnsi="Times New Roman"/>
                <w:sz w:val="23"/>
                <w:szCs w:val="23"/>
                <w:lang w:val="be-BY" w:eastAsia="ru-RU"/>
              </w:rPr>
              <w:t>СЕ</w:t>
            </w:r>
          </w:p>
          <w:p>
            <w:pPr>
              <w:pStyle w:val="Normal"/>
              <w:widowControl w:val="false"/>
              <w:spacing w:lineRule="auto" w:line="204" w:before="0" w:after="0"/>
              <w:rPr>
                <w:rFonts w:ascii="Times New Roman" w:hAnsi="Times New Roman" w:eastAsia="Times New Roman" w:cs="Times New Roman"/>
                <w:sz w:val="10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24"/>
                <w:lang w:val="be-BY" w:eastAsia="ru-RU"/>
              </w:rPr>
            </w:r>
          </w:p>
        </w:tc>
      </w:tr>
      <w:tr>
        <w:trPr>
          <w:trHeight w:val="167" w:hRule="atLeast"/>
          <w:cantSplit w:val="true"/>
        </w:trPr>
        <w:tc>
          <w:tcPr>
            <w:tcW w:w="5353" w:type="dxa"/>
            <w:gridSpan w:val="2"/>
            <w:tcBorders/>
          </w:tcPr>
          <w:p>
            <w:pPr>
              <w:pStyle w:val="Normal"/>
              <w:widowControl w:val="false"/>
              <w:spacing w:lineRule="auto" w:line="204" w:before="0" w:after="0"/>
              <w:rPr>
                <w:rFonts w:ascii="Times New Roman" w:hAnsi="Times New Roman" w:eastAsia="Times New Roman" w:cs="Times New Roman"/>
                <w:sz w:val="18"/>
                <w:szCs w:val="24"/>
                <w:lang w:val="be-BY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24"/>
                <w:lang w:val="be-BY" w:eastAsia="ru-RU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0" w:right="-1559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6115050" cy="14605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ПРИКАЗ                                                                      </w:t>
        <w:tab/>
        <w:t xml:space="preserve">     БОЕРЫК</w:t>
      </w:r>
    </w:p>
    <w:p>
      <w:pPr>
        <w:pStyle w:val="Normal"/>
        <w:spacing w:lineRule="auto" w:line="240" w:before="0" w:after="0"/>
        <w:ind w:left="0" w:right="0"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Об усилении мер по профилактике экстремизма, терроризма и обеспечению психологической безопасности в образовательных организациях и об организации обучения советников директора по воспитанию и взаимодействию с детскими общественными объединениями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На основании приказа Министерства образования и науки Республики Татарстан от 22.01.2026 №под-84/26 «О мерах по профилактике экстремизма, терроризма и обеспечению психологической безопасности в образовательных организациях и об организации обучения советников директора по воспитанию и взаимодействию с детскими общественными объединениями», а также в целях повышения эффективности системной работы по  предупреждению противоправного поведения, экстремистских и террористических проявлений в учебных заведениях, а также для создания психологически безопасной и комфортной среды для учащихся в соответствии с федеральным законом от 29.12.2012 №273-ФЗ «Об образовании в Российской Федерации», приказываю: 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 Руководителям образовательных организаций города Казани: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1.1. обеспечить внесение в должностные регламенты советников по воспитанию и классных руководителей, кураторов групп обязанности по выявлению и психолого-педагогическому сопровождению обучающихся, относящихся к «группе риска»; 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1.2. усилить контроль соблюдения требований по обеспечению безопасности образовательных организаций, в том числе при организации постоянного контроля доступа в образовательные организации;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1.3. усилить разъяснительную работу по формированию среди детей и молодежи нетерпимого отношения к экстремизму и терроризму и их профилактике, а также совершения антиобщественных деяний в составе групп, в том числе происходящих на объектах транспортной инфраструктуры, торгово-развлекательных комплексах, проявления вандализма;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1.4. своевременно направлять в территориальные органы МВД сведения о несовершеннолетних, в отношении которых совершены противоправные деяния либо которые совершили правонарушение или антиобщественные деяния;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1.5. провести разъяснительную работу по усилению всех требований безопасности в период проведения мероприятий в соответствии с календарным планом воспитательных событий, утвержденным Министерством просвещения Российской Федерации;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1.6. проведение встреч с сотрудниками МВД о неукоснительном соблюдении законодательства, ответственности за правонарушения и преступления, в том числе в сфере незаконного распространения и употребления несовершеннолетними психоактивных веществ;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1.7. провести дополнительную разъяснительную работу с родителями (иными законными представителями) обучающихся с участием квалифицированных специалистов, педагогов-психологов направленную на: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информирование о способах защиты своего ребенка от негативного влияния: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о правовых последствиях, к которым могут привести те или иные проявления (действия) несовершеннолетних: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о признаках суицидального поведения и алгоритмах действий в кризисных ситуациях;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осуществлению контроля за детьми в сети Интернет, разъяснение административной и уголовной ответственности за правонарушения в сфере экстремизма и терроризма;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о информировании о работе психологических центров и служб на территории г.Казани, телефона доверия, в которые также могут обратиться родители (законные представители) несовершеннолетних.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1.8.  при выявлении учащихся, пропагандирующих либо поддерживающих деструктивное поведение, являющихся подписчиками деструктивных сообществ (групп) в социальных сетях, организовать совместную с органами внутренних дел адресную профилактическую работу с ними и их родителями (законными представителями). Информацию в отношении деструктивных групп направлять в УФСБ России по Республике Татарстан для принятия решения о блокировке интернет-контентов,  УМВД по г.Казани  для установления факта правонарушения;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1.9. при поступлении сведений о готовящемся нападении действовать в соответствии с Регламентом межведомственного взаимодействия по осуществлению профилактических мер при обнаружении в открытом сегменте социальной сети «Вконтакте» и мессенджере «Телеграм» противоправного и деструктивного контента, влиянию которого подверглись дети и молодежь Республики Татарстан, а также фактов их противоправной и антиобщественной деятельности, утвержденным протоколом заседания межведомственной рабочей группы по профилактике распространения среди детей и молодежи деструктивных движений, субкультуры массовых убийств, в том числе идеологии «Колумбайн», травли (буллинга), суицидальных проявлений от 30.04.2025 № ЛФ-12-150;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1.10. обеспечить оформление (обновление) информационных стендов для учащихся и родителей (законных представителей) с полной информацией: 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о телефонах экстренных служб, психологических центров, телефонах доверия;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об угрозах кибермошенничества и правилах безопасного поведения в интернете.</w:t>
      </w:r>
    </w:p>
    <w:p>
      <w:pPr>
        <w:pStyle w:val="BodyTextIndent2"/>
        <w:spacing w:lineRule="auto" w:line="276" w:before="0" w:after="0"/>
        <w:ind w:left="283" w:right="0"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Информацию продублировать в родительские чаты в мессенджерах. </w:t>
      </w:r>
    </w:p>
    <w:p>
      <w:pPr>
        <w:pStyle w:val="BodyTextIndent2"/>
        <w:spacing w:lineRule="auto" w:line="276" w:before="0" w:after="0"/>
        <w:ind w:left="283" w:right="0" w:firstLine="709"/>
        <w:rPr>
          <w:sz w:val="28"/>
          <w:szCs w:val="28"/>
        </w:rPr>
      </w:pPr>
      <w:r>
        <w:rPr>
          <w:sz w:val="28"/>
          <w:szCs w:val="28"/>
        </w:rPr>
        <w:t>1.11. использовать в работе по профилактике экстремизма, терроризма и обеспечению психологической безопасности следующие методические материалы: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для педагогов по профилактике вовлечения подростков в деструктивные субкультуры и несанкционированные массовые мероприятия (письмо Минпросвещения России от 15 марта 2023 г. №АБ-1144/07);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информационно-методические материалы по организации профилактической работы в образовательных организациях, реализующих основные общеобразовательные программы начального общего, основного общего и среднего общего образования, а также в профессиональных образовательных организациях о вопросам предотвращения распространения идеологического воздействия террористических течений на обучающихся (письмо Минпросвещения России от 11 апреля 2023 г. № ТВ-784/03);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«Профилактика девиантного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климата» (письмо Минпросвещения России от 28 июля 2023 г. № 07-4251);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для социальных педагогов общеобразовательных организаций «Организация индивидуальной профилактической работы с отдельными категориями несовершеннолетних обучающихся в общеобразовательных организациях: деятельность социального педагога» с кейс-технологиями при проведении индивидуальной профилактической работы с отдельными категориями несовершеннолетних обучающихся (письмо Минпросвещения России от 9 августа 2024 г. № 07-3879);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материалы по признакам девиаций, действиям специалистов органов и организаций системы образования в ситуациях социальных рисков и профилактике девиантного поведения обучающихся «Навигатор профилактики» (письмо Минпросвещения России от 26 ноября 2024 г. № 07-5707);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типовые сценарии (включая презентационные материалы) Всероссийских родительских собраний по вопросам профилактики тяжких, особо тяжких преступлений, совершенных несовершеннолетними, включая вопросы профилактики преступлений несовершеннолетних в сфере незаконного оборота наркотиков, в том числе с использованием компьютерных технологий «Дети и опасность онлайн. Будьте бдительны!», а также вовлечения несовершеннолетних в совершение общественно опасных противоправных деяний с использованием компьютерных технологий «Дети и опасность онлайн: Экстремизм и терроризм. Будьте бдительны!» (письмо Минпросвещения России от 19 февраля 2025 г. № 07-689);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памятку для обучающихся, родителей (законных представителей) и педагогических работников по вопросам противодействия травле (буллингу), разработанная совместно с федеральным государственным бюджетным образовательным учреждением высшего образования «Саратовская государственная юридическая академия» и федеральным государственным бюджетным учреждением «Центр защиты прав и интересов детей» (письмо Минпросвещения России от 10 апреля 2025 г. № 07-1614);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«Алгоритмы деятельности педагога-психолога (психолога в сфере образования) по оказанию психологической помощи участникам образовательных отношений» (письмо Минпросвещения России от 10 апреля 2025 г. № 07-1613);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по вопросам межведомственного взаимодействия при организации деятельности по профилактике суицидов и опасного поведения несовершеннолетних (письмо Минпросвещения России от 19 мая 2025 г. № 07-2233);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памятку для родителей и педагогов в целях профилактики киберпреступлений в отношении несовершеннолетних (письмо Минпросвещения России от 20 мая 2025 г. № 07-2227);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по организации работы с несовершеннолетними иностранными гражданами, склонными к совершению преступлений и правонарушений, в образовательных организациях в целях недопущения совершения противоправных деяний (письмо Минпросвещения России от 4 июля 2025 г. № 07-3202);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информационно-методические материалы по вопросу отработки информации о вероятных суицидальных рисках несовершеннолетних, выявленных по цифровым следам, и организации психолого-педагогического сопровождения в субъектах Российской Федерации (письмо Минпросвещения России от 11 августа 2025 г. № 07-4037);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«Формирование антикризисных подразделений в центрах психолого-педагогической, медицинской и социальной помощи» (письмо Минпросвещения России от 30 сентября 2025 г. № 07-5146);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материалы для специалистов по алгоритмам действий, направленных на предупреждение вовлечения несовершеннолетних в деструктивные группы, признакам девиантного (отклонявшегося) онлайн- поведения детей и подростков с учетом рисков, выявленных в информационно- телекоммуникационной сети «Интернет» – «Навигатор профилактики социальных рисков детства в цифровой среде» (письмо Минпросвещения России от 22 октября 2025 г. № 07-5692).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информационно-методические материалы о взаимодействии советников директоров по воспитанию и взаимодействию с детскими общественными объединениями с классными руководителями общеобразовательных организаций с целью организации педагогического реагирования на негативные явления среди несовершеннолетних, подготовленные Росдетцентром (письмо Минпросвещения России от 23 октября 2025 г. № 07-5724);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по оказанию допсихологической помощи участникам образовательных отношений (письмо Минпросвещения России от 11 декабря 2025 г. № 07-6965).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Начальникам районных отделов Управления образования г.Казани </w:t>
      </w:r>
      <w:r>
        <w:rPr>
          <w:b w:val="false"/>
          <w:bCs w:val="false"/>
          <w:sz w:val="28"/>
          <w:szCs w:val="28"/>
        </w:rPr>
        <w:t>обеспечить: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2.1 контроль выполнения пункта 1 приказа;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2.2. контроль за проведением родительских собраний в образовательных организациях;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2.3. </w:t>
      </w:r>
      <w:r>
        <w:rPr>
          <w:b w:val="false"/>
          <w:bCs w:val="false"/>
          <w:sz w:val="28"/>
          <w:szCs w:val="28"/>
        </w:rPr>
        <w:t xml:space="preserve">направление графика родительских собраний – сводную информацию от отдела в Управление образования Исполнительного комитета г.Казани на электронный адрес </w:t>
      </w:r>
      <w:hyperlink r:id="rId4">
        <w:r>
          <w:rPr>
            <w:rStyle w:val="-"/>
            <w:b w:val="false"/>
            <w:bCs w:val="false"/>
            <w:sz w:val="28"/>
            <w:szCs w:val="28"/>
          </w:rPr>
          <w:t>Polina.Bulatova@tatar.ru</w:t>
        </w:r>
      </w:hyperlink>
      <w:r>
        <w:rPr>
          <w:b w:val="false"/>
          <w:bCs w:val="false"/>
          <w:sz w:val="28"/>
          <w:szCs w:val="28"/>
        </w:rPr>
        <w:t xml:space="preserve"> до 09.02.2026 в соответствии с формой (приложение).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3. Контроль за исполнением настоящего приказа оставляю за собой.</w:t>
      </w:r>
    </w:p>
    <w:p>
      <w:pPr>
        <w:pStyle w:val="BodyTextIndent2"/>
        <w:spacing w:lineRule="auto" w:line="276" w:before="0" w:after="0"/>
        <w:ind w:left="283" w:right="0" w:firstLine="709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2"/>
        <w:spacing w:lineRule="auto" w:line="276" w:before="0" w:after="0"/>
        <w:ind w:left="283" w:right="0" w:hang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Начальник                                                                                        И.А.Ризванов</w:t>
      </w:r>
    </w:p>
    <w:p>
      <w:pPr>
        <w:pStyle w:val="BodyTextIndent2"/>
        <w:spacing w:lineRule="auto" w:line="276" w:before="0" w:after="0"/>
        <w:ind w:left="283" w:right="0" w:hang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Indent2"/>
        <w:spacing w:lineRule="auto" w:line="276" w:before="0" w:after="0"/>
        <w:ind w:left="283" w:right="0" w:hanging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Приложение</w:t>
      </w:r>
    </w:p>
    <w:p>
      <w:pPr>
        <w:pStyle w:val="BodyTextIndent2"/>
        <w:spacing w:lineRule="auto" w:line="276" w:before="0" w:after="0"/>
        <w:ind w:left="283" w:right="0" w:hanging="0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before="0" w:after="200"/>
        <w:ind w:left="-426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  <w:lang w:eastAsia="en-US"/>
        </w:rPr>
        <w:t>График проведения родительских собраний в общеобразовательных учреждениях</w:t>
      </w:r>
    </w:p>
    <w:tbl>
      <w:tblPr>
        <w:tblStyle w:val="25"/>
        <w:tblW w:w="10481" w:type="dxa"/>
        <w:jc w:val="left"/>
        <w:tblInd w:w="-2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69"/>
        <w:gridCol w:w="2383"/>
        <w:gridCol w:w="2032"/>
        <w:gridCol w:w="2610"/>
        <w:gridCol w:w="2387"/>
      </w:tblGrid>
      <w:tr>
        <w:trPr/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Район</w:t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Образовательное учреждение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Дата, время, класс</w:t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Вопросы рассматриваемые на собрании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Приглашенные сотрудники органов субъектов профилактики </w:t>
            </w:r>
          </w:p>
        </w:tc>
      </w:tr>
      <w:tr>
        <w:trPr/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center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  <w:lang w:eastAsia="en-US"/>
              </w:rPr>
            </w:r>
          </w:p>
        </w:tc>
      </w:tr>
    </w:tbl>
    <w:p>
      <w:pPr>
        <w:pStyle w:val="Style28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2"/>
        <w:spacing w:lineRule="auto" w:line="276" w:before="0" w:after="0"/>
        <w:ind w:left="283" w:right="0" w:hang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3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qFormat/>
    <w:pPr>
      <w:suppressAutoHyphens w:val="false"/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>
    <w:name w:val="Default Paragraph Font"/>
    <w:qFormat/>
    <w:rPr/>
  </w:style>
  <w:style w:type="character" w:styleId="-">
    <w:name w:val="Hyperlink"/>
    <w:basedOn w:val="DefaultParagraphFont"/>
    <w:rPr>
      <w:color w:val="0000FF"/>
      <w:u w:val="single"/>
    </w:rPr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0">
    <w:name w:val="c0"/>
    <w:basedOn w:val="DefaultParagraphFont"/>
    <w:qFormat/>
    <w:rPr/>
  </w:style>
  <w:style w:type="character" w:styleId="Style13">
    <w:name w:val="Символ нумерации"/>
    <w:qFormat/>
    <w:rPr/>
  </w:style>
  <w:style w:type="character" w:styleId="Layout">
    <w:name w:val="layout"/>
    <w:basedOn w:val="DefaultParagraphFont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Style14">
    <w:name w:val="Символ сноски"/>
    <w:qFormat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Style17">
    <w:name w:val="Endnote Reference"/>
    <w:rPr>
      <w:vertAlign w:val="superscript"/>
    </w:rPr>
  </w:style>
  <w:style w:type="character" w:styleId="WW8Num13z0">
    <w:name w:val="WW8Num13z0"/>
    <w:qFormat/>
    <w:rPr>
      <w:rFonts w:cs="Times New Roman"/>
    </w:rPr>
  </w:style>
  <w:style w:type="character" w:styleId="WW8Num13z1">
    <w:name w:val="WW8Num13z1"/>
    <w:qFormat/>
    <w:rPr>
      <w:rFonts w:cs="Times New Roman"/>
    </w:rPr>
  </w:style>
  <w:style w:type="character" w:styleId="WW8Num12z0">
    <w:name w:val="WW8Num12z0"/>
    <w:qFormat/>
    <w:rPr>
      <w:rFonts w:cs="Times New Roman"/>
      <w:color w:val="000000"/>
    </w:rPr>
  </w:style>
  <w:style w:type="character" w:styleId="WW8Num12z1">
    <w:name w:val="WW8Num12z1"/>
    <w:qFormat/>
    <w:rPr>
      <w:rFonts w:cs="Times New Roman"/>
    </w:rPr>
  </w:style>
  <w:style w:type="character" w:styleId="WW8Num8z0">
    <w:name w:val="WW8Num8z0"/>
    <w:qFormat/>
    <w:rPr/>
  </w:style>
  <w:style w:type="character" w:styleId="Style18">
    <w:name w:val="FollowedHyperlink"/>
    <w:basedOn w:val="DefaultParagraphFont"/>
    <w:rPr>
      <w:color w:val="800080" w:themeColor="followedHyperlink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C1">
    <w:name w:val="c1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Style24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12">
    <w:name w:val="Основной текст1"/>
    <w:qFormat/>
    <w:pPr>
      <w:widowControl w:val="false"/>
      <w:suppressAutoHyphens w:val="true"/>
      <w:overflowPunct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5"/>
      <w:szCs w:val="25"/>
      <w:lang w:val="ru-RU" w:eastAsia="en-US" w:bidi="ar-SA"/>
    </w:rPr>
  </w:style>
  <w:style w:type="paragraph" w:styleId="Style25">
    <w:name w:val="Абзац списка"/>
    <w:basedOn w:val="Normal"/>
    <w:qFormat/>
    <w:pPr>
      <w:spacing w:before="0" w:after="160"/>
      <w:ind w:left="720" w:right="0" w:hanging="0"/>
      <w:contextualSpacing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Body Text Indent"/>
    <w:basedOn w:val="Normal"/>
    <w:pPr>
      <w:widowControl w:val="false"/>
      <w:shd w:val="clear" w:fill="FFFFFF"/>
      <w:suppressAutoHyphens w:val="true"/>
      <w:spacing w:lineRule="auto" w:line="360" w:before="0" w:after="0"/>
      <w:ind w:left="0" w:right="0" w:firstLine="720"/>
      <w:jc w:val="both"/>
    </w:pPr>
    <w:rPr>
      <w:rFonts w:ascii="Times New Roman" w:hAnsi="Times New Roman" w:cs="Lucida Sans Unicode"/>
      <w:b/>
      <w:bCs/>
      <w:color w:val="000000"/>
      <w:sz w:val="28"/>
      <w:szCs w:val="32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numbering" w:styleId="WW8Num20">
    <w:name w:val="WW8Num20"/>
    <w:qFormat/>
  </w:style>
  <w:style w:type="numbering" w:styleId="WW8Num19">
    <w:name w:val="WW8Num19"/>
    <w:qFormat/>
  </w:style>
  <w:style w:type="numbering" w:styleId="WW8Num13">
    <w:name w:val="WW8Num13"/>
    <w:qFormat/>
  </w:style>
  <w:style w:type="numbering" w:styleId="WW8Num12">
    <w:name w:val="WW8Num12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Polina.Bulatova@tatar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Application>LibreOffice/7.5.6.2$Linux_X86_64 LibreOffice_project/50$Build-2</Application>
  <AppVersion>15.0000</AppVersion>
  <Pages>6</Pages>
  <Words>1253</Words>
  <Characters>9850</Characters>
  <CharactersWithSpaces>11231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2025-04-16T11:29:00Z</dcterms:created>
  <dc:creator>администратор</dc:creator>
  <dc:description/>
  <dc:language>ru-RU</dc:language>
  <cp:lastModifiedBy/>
  <cp:lastPrinted>2026-01-14T15:38:49Z</cp:lastPrinted>
  <dcterms:modified xsi:type="dcterms:W3CDTF">2026-01-27T13:53:28Z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